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5B2C5E" w:rsidRPr="005B2C5E" w14:paraId="1C62B96C" w14:textId="77777777" w:rsidTr="005B2C5E">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594AEA2"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30 Aralık 2024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3FC4E13"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14C04D8" w14:textId="77777777" w:rsidR="005B2C5E" w:rsidRPr="005B2C5E" w:rsidRDefault="005B2C5E" w:rsidP="005B2C5E">
            <w:pPr>
              <w:jc w:val="both"/>
              <w:rPr>
                <w:rFonts w:ascii="Tahoma" w:hAnsi="Tahoma" w:cs="Tahoma"/>
                <w:sz w:val="20"/>
                <w:szCs w:val="20"/>
              </w:rPr>
            </w:pPr>
            <w:proofErr w:type="gramStart"/>
            <w:r w:rsidRPr="005B2C5E">
              <w:rPr>
                <w:rFonts w:ascii="Tahoma" w:hAnsi="Tahoma" w:cs="Tahoma"/>
                <w:sz w:val="20"/>
                <w:szCs w:val="20"/>
              </w:rPr>
              <w:t>Sayı :</w:t>
            </w:r>
            <w:proofErr w:type="gramEnd"/>
            <w:r w:rsidRPr="005B2C5E">
              <w:rPr>
                <w:rFonts w:ascii="Tahoma" w:hAnsi="Tahoma" w:cs="Tahoma"/>
                <w:sz w:val="20"/>
                <w:szCs w:val="20"/>
              </w:rPr>
              <w:t xml:space="preserve"> 32768 </w:t>
            </w:r>
            <w:r w:rsidRPr="005B2C5E">
              <w:rPr>
                <w:rFonts w:ascii="Tahoma" w:hAnsi="Tahoma" w:cs="Tahoma"/>
                <w:b/>
                <w:bCs/>
                <w:sz w:val="20"/>
                <w:szCs w:val="20"/>
              </w:rPr>
              <w:t>(2. Mükerrer)</w:t>
            </w:r>
          </w:p>
        </w:tc>
      </w:tr>
      <w:tr w:rsidR="005B2C5E" w:rsidRPr="005B2C5E" w14:paraId="74978CC4" w14:textId="77777777" w:rsidTr="005B2C5E">
        <w:trPr>
          <w:trHeight w:val="480"/>
        </w:trPr>
        <w:tc>
          <w:tcPr>
            <w:tcW w:w="8789" w:type="dxa"/>
            <w:gridSpan w:val="3"/>
            <w:tcMar>
              <w:top w:w="0" w:type="dxa"/>
              <w:left w:w="108" w:type="dxa"/>
              <w:bottom w:w="0" w:type="dxa"/>
              <w:right w:w="108" w:type="dxa"/>
            </w:tcMar>
            <w:vAlign w:val="center"/>
            <w:hideMark/>
          </w:tcPr>
          <w:p w14:paraId="12702DBE"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TEBLİĞ</w:t>
            </w:r>
          </w:p>
        </w:tc>
      </w:tr>
      <w:tr w:rsidR="005B2C5E" w:rsidRPr="005B2C5E" w14:paraId="3F87C15D" w14:textId="77777777" w:rsidTr="005B2C5E">
        <w:trPr>
          <w:trHeight w:val="480"/>
        </w:trPr>
        <w:tc>
          <w:tcPr>
            <w:tcW w:w="8789" w:type="dxa"/>
            <w:gridSpan w:val="3"/>
            <w:tcMar>
              <w:top w:w="0" w:type="dxa"/>
              <w:left w:w="108" w:type="dxa"/>
              <w:bottom w:w="0" w:type="dxa"/>
              <w:right w:w="108" w:type="dxa"/>
            </w:tcMar>
            <w:vAlign w:val="center"/>
            <w:hideMark/>
          </w:tcPr>
          <w:p w14:paraId="750024A0" w14:textId="77777777" w:rsidR="005B2C5E" w:rsidRPr="005B2C5E" w:rsidRDefault="005B2C5E" w:rsidP="00DD6FFC">
            <w:pPr>
              <w:jc w:val="center"/>
              <w:rPr>
                <w:rFonts w:ascii="Tahoma" w:hAnsi="Tahoma" w:cs="Tahoma"/>
                <w:sz w:val="20"/>
                <w:szCs w:val="20"/>
                <w:u w:val="single"/>
              </w:rPr>
            </w:pPr>
            <w:r w:rsidRPr="005B2C5E">
              <w:rPr>
                <w:rFonts w:ascii="Tahoma" w:hAnsi="Tahoma" w:cs="Tahoma"/>
                <w:sz w:val="20"/>
                <w:szCs w:val="20"/>
                <w:u w:val="single"/>
              </w:rPr>
              <w:t>Hazine ve Maliye Bakanlığı (Gelir İdaresi Başkanlığı)’</w:t>
            </w:r>
            <w:proofErr w:type="spellStart"/>
            <w:r w:rsidRPr="005B2C5E">
              <w:rPr>
                <w:rFonts w:ascii="Tahoma" w:hAnsi="Tahoma" w:cs="Tahoma"/>
                <w:sz w:val="20"/>
                <w:szCs w:val="20"/>
                <w:u w:val="single"/>
              </w:rPr>
              <w:t>ndan</w:t>
            </w:r>
            <w:proofErr w:type="spellEnd"/>
            <w:r w:rsidRPr="005B2C5E">
              <w:rPr>
                <w:rFonts w:ascii="Tahoma" w:hAnsi="Tahoma" w:cs="Tahoma"/>
                <w:sz w:val="20"/>
                <w:szCs w:val="20"/>
                <w:u w:val="single"/>
              </w:rPr>
              <w:t>:</w:t>
            </w:r>
          </w:p>
          <w:p w14:paraId="2189FDD8" w14:textId="77777777" w:rsidR="005B2C5E" w:rsidRPr="005B2C5E" w:rsidRDefault="005B2C5E" w:rsidP="00DD6FFC">
            <w:pPr>
              <w:jc w:val="center"/>
              <w:rPr>
                <w:rFonts w:ascii="Tahoma" w:hAnsi="Tahoma" w:cs="Tahoma"/>
                <w:b/>
                <w:bCs/>
                <w:sz w:val="20"/>
                <w:szCs w:val="20"/>
              </w:rPr>
            </w:pPr>
            <w:r w:rsidRPr="005B2C5E">
              <w:rPr>
                <w:rFonts w:ascii="Tahoma" w:hAnsi="Tahoma" w:cs="Tahoma"/>
                <w:b/>
                <w:bCs/>
                <w:sz w:val="20"/>
                <w:szCs w:val="20"/>
              </w:rPr>
              <w:t>GELİR VERGİSİ GENEL TEBLİĞİ</w:t>
            </w:r>
          </w:p>
          <w:p w14:paraId="45DC1AB7" w14:textId="77777777" w:rsidR="005B2C5E" w:rsidRPr="005B2C5E" w:rsidRDefault="005B2C5E" w:rsidP="00DD6FFC">
            <w:pPr>
              <w:jc w:val="center"/>
              <w:rPr>
                <w:rFonts w:ascii="Tahoma" w:hAnsi="Tahoma" w:cs="Tahoma"/>
                <w:b/>
                <w:bCs/>
                <w:sz w:val="20"/>
                <w:szCs w:val="20"/>
              </w:rPr>
            </w:pPr>
            <w:r w:rsidRPr="005B2C5E">
              <w:rPr>
                <w:rFonts w:ascii="Tahoma" w:hAnsi="Tahoma" w:cs="Tahoma"/>
                <w:b/>
                <w:bCs/>
                <w:sz w:val="20"/>
                <w:szCs w:val="20"/>
              </w:rPr>
              <w:t>(SERİ NO: 329)</w:t>
            </w:r>
          </w:p>
          <w:p w14:paraId="27F9B0C1" w14:textId="77777777" w:rsidR="005B2C5E" w:rsidRPr="005B2C5E" w:rsidRDefault="005B2C5E" w:rsidP="00DD6FFC">
            <w:pPr>
              <w:jc w:val="center"/>
              <w:rPr>
                <w:rFonts w:ascii="Tahoma" w:hAnsi="Tahoma" w:cs="Tahoma"/>
                <w:b/>
                <w:bCs/>
                <w:sz w:val="20"/>
                <w:szCs w:val="20"/>
              </w:rPr>
            </w:pPr>
            <w:r w:rsidRPr="005B2C5E">
              <w:rPr>
                <w:rFonts w:ascii="Tahoma" w:hAnsi="Tahoma" w:cs="Tahoma"/>
                <w:b/>
                <w:bCs/>
                <w:sz w:val="20"/>
                <w:szCs w:val="20"/>
              </w:rPr>
              <w:t>BİRİNCİ BÖLÜM</w:t>
            </w:r>
          </w:p>
          <w:p w14:paraId="30FEA086" w14:textId="77777777" w:rsidR="005B2C5E" w:rsidRPr="005B2C5E" w:rsidRDefault="005B2C5E" w:rsidP="00DD6FFC">
            <w:pPr>
              <w:jc w:val="center"/>
              <w:rPr>
                <w:rFonts w:ascii="Tahoma" w:hAnsi="Tahoma" w:cs="Tahoma"/>
                <w:b/>
                <w:bCs/>
                <w:sz w:val="20"/>
                <w:szCs w:val="20"/>
              </w:rPr>
            </w:pPr>
            <w:r w:rsidRPr="005B2C5E">
              <w:rPr>
                <w:rFonts w:ascii="Tahoma" w:hAnsi="Tahoma" w:cs="Tahoma"/>
                <w:b/>
                <w:bCs/>
                <w:sz w:val="20"/>
                <w:szCs w:val="20"/>
              </w:rPr>
              <w:t>Amaç ve Yasal Düzenlemeler</w:t>
            </w:r>
          </w:p>
          <w:p w14:paraId="3361084D"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Amaç</w:t>
            </w:r>
          </w:p>
          <w:p w14:paraId="2C8840B9"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MADDE 1-</w:t>
            </w:r>
            <w:r w:rsidRPr="005B2C5E">
              <w:rPr>
                <w:rFonts w:ascii="Tahoma" w:hAnsi="Tahoma" w:cs="Tahoma"/>
                <w:sz w:val="20"/>
                <w:szCs w:val="20"/>
              </w:rPr>
              <w:t> (1) Bu Tebliğin amacı, 31/12/1960 tarihli ve 193 sayılı Gelir Vergisi Kanununun 9/10, 21, 23/8, 23/10, 31, 40/1, 40/7, 47, 48, 68, mükerrer 80, 82, 86, 103 ve mükerrer 121 inci maddelerinde yer alan ve yeniden değerleme oranında artırılan maktu had ve tutarlar, basit usule tabi mükelleflerde toplu belge düzenleme uygulaması ile 1/1/2006 tarihinden önce ihraç edilen bir kısım menkul kıymetlerden 2024 takvim yılında elde edilen menkul sermaye iradının beyanında dikkate alınacak indirim oranı uygulamasına ilişkin hususların açıklanmasıdır.</w:t>
            </w:r>
          </w:p>
          <w:p w14:paraId="0227CF61"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Yasal düzenlemeler</w:t>
            </w:r>
          </w:p>
          <w:p w14:paraId="4C4B6B5E"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MADDE 2-</w:t>
            </w:r>
            <w:r w:rsidRPr="005B2C5E">
              <w:rPr>
                <w:rFonts w:ascii="Tahoma" w:hAnsi="Tahoma" w:cs="Tahoma"/>
                <w:sz w:val="20"/>
                <w:szCs w:val="20"/>
              </w:rPr>
              <w:t> (1) 193 sayılı Kanunun mükerrer 121 inci maddesinde;</w:t>
            </w:r>
          </w:p>
          <w:p w14:paraId="0462D8A9"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w:t>
            </w:r>
          </w:p>
          <w:p w14:paraId="5F1E77E6"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Birinci fıkrada yer alan tutar, her yıl bir önceki yıla ilişkin olarak 213 sayılı Vergi Usul Kanunu hükümlerine göre belirlenen yeniden değerleme oranında artırılmak suretiyle uygulanır. Bu şekilde hesaplanan tutarın %5'ini aşmayan kesirler dikkate alınmaz. Cumhurbaşkanı, birinci fıkrada yer alan oranı ve tutarı iki katına kadar artırmaya, sıfıra kadar indirmeye, kanuni oran ve tutarına getirmeye; Maliye Bakanlığı, maddenin uygulanmasına ilişkin usul ve esasları belirlemeye yetkilidir.”</w:t>
            </w:r>
          </w:p>
          <w:p w14:paraId="2EEAAEB6" w14:textId="77777777" w:rsidR="005B2C5E" w:rsidRPr="005B2C5E" w:rsidRDefault="005B2C5E" w:rsidP="005B2C5E">
            <w:pPr>
              <w:jc w:val="both"/>
              <w:rPr>
                <w:rFonts w:ascii="Tahoma" w:hAnsi="Tahoma" w:cs="Tahoma"/>
                <w:sz w:val="20"/>
                <w:szCs w:val="20"/>
              </w:rPr>
            </w:pPr>
            <w:proofErr w:type="gramStart"/>
            <w:r w:rsidRPr="005B2C5E">
              <w:rPr>
                <w:rFonts w:ascii="Tahoma" w:hAnsi="Tahoma" w:cs="Tahoma"/>
                <w:sz w:val="20"/>
                <w:szCs w:val="20"/>
              </w:rPr>
              <w:t>hükmü</w:t>
            </w:r>
            <w:proofErr w:type="gramEnd"/>
            <w:r w:rsidRPr="005B2C5E">
              <w:rPr>
                <w:rFonts w:ascii="Tahoma" w:hAnsi="Tahoma" w:cs="Tahoma"/>
                <w:sz w:val="20"/>
                <w:szCs w:val="20"/>
              </w:rPr>
              <w:t> yer almaktadır.</w:t>
            </w:r>
          </w:p>
          <w:p w14:paraId="7C3D5521"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xml:space="preserve">(2) 193 sayılı Kanunun mükerrer </w:t>
            </w:r>
            <w:proofErr w:type="gramStart"/>
            <w:r w:rsidRPr="005B2C5E">
              <w:rPr>
                <w:rFonts w:ascii="Tahoma" w:hAnsi="Tahoma" w:cs="Tahoma"/>
                <w:sz w:val="20"/>
                <w:szCs w:val="20"/>
              </w:rPr>
              <w:t>123 üncü</w:t>
            </w:r>
            <w:proofErr w:type="gramEnd"/>
            <w:r w:rsidRPr="005B2C5E">
              <w:rPr>
                <w:rFonts w:ascii="Tahoma" w:hAnsi="Tahoma" w:cs="Tahoma"/>
                <w:sz w:val="20"/>
                <w:szCs w:val="20"/>
              </w:rPr>
              <w:t xml:space="preserve"> maddesinde;</w:t>
            </w:r>
          </w:p>
          <w:p w14:paraId="57F7CB19"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w:t>
            </w:r>
          </w:p>
          <w:p w14:paraId="58375E83"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xml:space="preserve">2. Bu Kanunun 9/10, 19, 21, 23/8, 23/10, 31, 40/1, 40/7, 47, 48, 68, mükerrer 80, 82 ve </w:t>
            </w:r>
            <w:proofErr w:type="gramStart"/>
            <w:r w:rsidRPr="005B2C5E">
              <w:rPr>
                <w:rFonts w:ascii="Tahoma" w:hAnsi="Tahoma" w:cs="Tahoma"/>
                <w:sz w:val="20"/>
                <w:szCs w:val="20"/>
              </w:rPr>
              <w:t>86 </w:t>
            </w:r>
            <w:proofErr w:type="spellStart"/>
            <w:r w:rsidRPr="005B2C5E">
              <w:rPr>
                <w:rFonts w:ascii="Tahoma" w:hAnsi="Tahoma" w:cs="Tahoma"/>
                <w:sz w:val="20"/>
                <w:szCs w:val="20"/>
              </w:rPr>
              <w:t>ncı</w:t>
            </w:r>
            <w:proofErr w:type="spellEnd"/>
            <w:proofErr w:type="gramEnd"/>
            <w:r w:rsidRPr="005B2C5E">
              <w:rPr>
                <w:rFonts w:ascii="Tahoma" w:hAnsi="Tahoma" w:cs="Tahoma"/>
                <w:sz w:val="20"/>
                <w:szCs w:val="20"/>
              </w:rPr>
              <w:t xml:space="preserve"> maddeleri ile 89 uncu maddesinin birinci fıkrasının (15) numaralı bendinde yer alan maktu had ve tutarlar, her yıl bir önceki yıla ilişkin olarak Vergi Usul Kanunu hükümlerine göre belirlenen yeniden değerleme oranında artırılmak suretiyle uygulanır. Bu şekilde hesaplanan maktu had ve tutarların </w:t>
            </w:r>
            <w:proofErr w:type="gramStart"/>
            <w:r w:rsidRPr="005B2C5E">
              <w:rPr>
                <w:rFonts w:ascii="Tahoma" w:hAnsi="Tahoma" w:cs="Tahoma"/>
                <w:sz w:val="20"/>
                <w:szCs w:val="20"/>
              </w:rPr>
              <w:t>% 5</w:t>
            </w:r>
            <w:proofErr w:type="gramEnd"/>
            <w:r w:rsidRPr="005B2C5E">
              <w:rPr>
                <w:rFonts w:ascii="Tahoma" w:hAnsi="Tahoma" w:cs="Tahoma"/>
                <w:sz w:val="20"/>
                <w:szCs w:val="20"/>
              </w:rPr>
              <w:t xml:space="preserve">'ini aşmayan kesirler dikkate alınmaz. Cumhurbaşkanı, bu surette tespit edilen had ve tutarları </w:t>
            </w:r>
            <w:proofErr w:type="gramStart"/>
            <w:r w:rsidRPr="005B2C5E">
              <w:rPr>
                <w:rFonts w:ascii="Tahoma" w:hAnsi="Tahoma" w:cs="Tahoma"/>
                <w:sz w:val="20"/>
                <w:szCs w:val="20"/>
              </w:rPr>
              <w:t>% 50</w:t>
            </w:r>
            <w:proofErr w:type="gramEnd"/>
            <w:r w:rsidRPr="005B2C5E">
              <w:rPr>
                <w:rFonts w:ascii="Tahoma" w:hAnsi="Tahoma" w:cs="Tahoma"/>
                <w:sz w:val="20"/>
                <w:szCs w:val="20"/>
              </w:rPr>
              <w:t>'sine kadar artırmaya veya indirmeye yetkilidir.</w:t>
            </w:r>
          </w:p>
          <w:p w14:paraId="5F31BF06"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xml:space="preserve">3. Bu Kanunun </w:t>
            </w:r>
            <w:proofErr w:type="gramStart"/>
            <w:r w:rsidRPr="005B2C5E">
              <w:rPr>
                <w:rFonts w:ascii="Tahoma" w:hAnsi="Tahoma" w:cs="Tahoma"/>
                <w:sz w:val="20"/>
                <w:szCs w:val="20"/>
              </w:rPr>
              <w:t>103 üncü</w:t>
            </w:r>
            <w:proofErr w:type="gramEnd"/>
            <w:r w:rsidRPr="005B2C5E">
              <w:rPr>
                <w:rFonts w:ascii="Tahoma" w:hAnsi="Tahoma" w:cs="Tahoma"/>
                <w:sz w:val="20"/>
                <w:szCs w:val="20"/>
              </w:rPr>
              <w:t xml:space="preserve"> maddesinde yer alan vergi tarifesinin gelir dilim tutarları hakkında, bu maddenin (2) numaralı fıkrası uygulanır.”</w:t>
            </w:r>
          </w:p>
          <w:p w14:paraId="127A378D" w14:textId="77777777" w:rsidR="005B2C5E" w:rsidRPr="005B2C5E" w:rsidRDefault="005B2C5E" w:rsidP="005B2C5E">
            <w:pPr>
              <w:jc w:val="both"/>
              <w:rPr>
                <w:rFonts w:ascii="Tahoma" w:hAnsi="Tahoma" w:cs="Tahoma"/>
                <w:sz w:val="20"/>
                <w:szCs w:val="20"/>
              </w:rPr>
            </w:pPr>
            <w:proofErr w:type="gramStart"/>
            <w:r w:rsidRPr="005B2C5E">
              <w:rPr>
                <w:rFonts w:ascii="Tahoma" w:hAnsi="Tahoma" w:cs="Tahoma"/>
                <w:sz w:val="20"/>
                <w:szCs w:val="20"/>
              </w:rPr>
              <w:t>hükmü</w:t>
            </w:r>
            <w:proofErr w:type="gramEnd"/>
            <w:r w:rsidRPr="005B2C5E">
              <w:rPr>
                <w:rFonts w:ascii="Tahoma" w:hAnsi="Tahoma" w:cs="Tahoma"/>
                <w:sz w:val="20"/>
                <w:szCs w:val="20"/>
              </w:rPr>
              <w:t> yer almaktadır.</w:t>
            </w:r>
          </w:p>
          <w:p w14:paraId="75B1E50D" w14:textId="77777777" w:rsidR="005B2C5E" w:rsidRPr="005B2C5E" w:rsidRDefault="005B2C5E" w:rsidP="005B2C5E">
            <w:pPr>
              <w:jc w:val="both"/>
              <w:rPr>
                <w:rFonts w:ascii="Tahoma" w:hAnsi="Tahoma" w:cs="Tahoma"/>
                <w:b/>
                <w:bCs/>
                <w:sz w:val="20"/>
                <w:szCs w:val="20"/>
              </w:rPr>
            </w:pPr>
            <w:r w:rsidRPr="005B2C5E">
              <w:rPr>
                <w:rFonts w:ascii="Tahoma" w:hAnsi="Tahoma" w:cs="Tahoma"/>
                <w:b/>
                <w:bCs/>
                <w:sz w:val="20"/>
                <w:szCs w:val="20"/>
              </w:rPr>
              <w:t>İKİNCİ BÖLÜM</w:t>
            </w:r>
          </w:p>
          <w:p w14:paraId="44AD12D7" w14:textId="77777777" w:rsidR="005B2C5E" w:rsidRPr="005B2C5E" w:rsidRDefault="005B2C5E" w:rsidP="005B2C5E">
            <w:pPr>
              <w:jc w:val="both"/>
              <w:rPr>
                <w:rFonts w:ascii="Tahoma" w:hAnsi="Tahoma" w:cs="Tahoma"/>
                <w:b/>
                <w:bCs/>
                <w:sz w:val="20"/>
                <w:szCs w:val="20"/>
              </w:rPr>
            </w:pPr>
            <w:r w:rsidRPr="005B2C5E">
              <w:rPr>
                <w:rFonts w:ascii="Tahoma" w:hAnsi="Tahoma" w:cs="Tahoma"/>
                <w:b/>
                <w:bCs/>
                <w:sz w:val="20"/>
                <w:szCs w:val="20"/>
              </w:rPr>
              <w:t>Yeniden Değerleme Oranında Artırılan Had ve Tutarlar</w:t>
            </w:r>
          </w:p>
          <w:p w14:paraId="3EB8AA55"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lastRenderedPageBreak/>
              <w:t>Yeniden değerleme oranında artırılan had ve tutarlar</w:t>
            </w:r>
          </w:p>
          <w:p w14:paraId="4D6B4BC1"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MADDE 3-</w:t>
            </w:r>
            <w:r w:rsidRPr="005B2C5E">
              <w:rPr>
                <w:rFonts w:ascii="Tahoma" w:hAnsi="Tahoma" w:cs="Tahoma"/>
                <w:sz w:val="20"/>
                <w:szCs w:val="20"/>
              </w:rPr>
              <w:t> (1) 193 sayılı Kanunun mükerrer 123 üncü maddesi hükmü uyarınca, aynı Kanunun 9/10, 21, 23/8, 23/10, 31, 40/1, 40/7, 47, 48, 68, mükerrer 80, 82, 86 ve 103 üncü maddelerinde yer alan ve 2024 yılında uygulanan had ve tutarlar 27/11/2024 tarihli ve 32735 sayılı Resmî Gazete’de yayımlanan Vergi Usul Kanunu Genel Tebliği (Sıra No: 574) ile 2024 yılı için % 43,93 (kırk üç virgül doksan üç) olarak tespit edilen yeniden değerleme oranında artırılması suretiyle belirlenerek 2025 takvim yılında uygulanacak olan had ve tutarlar aşağıdaki şekilde tespit edilmiştir.</w:t>
            </w:r>
          </w:p>
          <w:p w14:paraId="284612E4"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(2) 2025 takvim yılında uygulanmak üzere 193 sayılı Kanunun;</w:t>
            </w:r>
          </w:p>
          <w:p w14:paraId="234F7E43"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a) 9 uncu maddesinin birinci fıkrasının (10) numaralı bendinde yer alan, internet ve benzeri elektronik ortamlar üzerinden yapılan satış hasılatı 1.580.000 TL,</w:t>
            </w:r>
          </w:p>
          <w:p w14:paraId="3BAB841E"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b) 21 inci maddesinin birinci fıkrasında yer alan mesken kira gelirleri için uygulanan istisna tutarı 47.000 TL,</w:t>
            </w:r>
          </w:p>
          <w:p w14:paraId="3DF83A15"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xml:space="preserve">c) </w:t>
            </w:r>
            <w:proofErr w:type="gramStart"/>
            <w:r w:rsidRPr="005B2C5E">
              <w:rPr>
                <w:rFonts w:ascii="Tahoma" w:hAnsi="Tahoma" w:cs="Tahoma"/>
                <w:sz w:val="20"/>
                <w:szCs w:val="20"/>
              </w:rPr>
              <w:t>23 üncü</w:t>
            </w:r>
            <w:proofErr w:type="gramEnd"/>
            <w:r w:rsidRPr="005B2C5E">
              <w:rPr>
                <w:rFonts w:ascii="Tahoma" w:hAnsi="Tahoma" w:cs="Tahoma"/>
                <w:sz w:val="20"/>
                <w:szCs w:val="20"/>
              </w:rPr>
              <w:t xml:space="preserve"> maddesinin birinci fıkrasının (8) numaralı bendinde yer alan, işyerinde veya müştemilatında yemek verilmeyen durumlarda çalışılan günlere ait bir günlük yemek bedeline ilişkin istisna tutarı 240 TL,</w:t>
            </w:r>
          </w:p>
          <w:p w14:paraId="76D90088" w14:textId="77777777" w:rsidR="005B2C5E" w:rsidRPr="005B2C5E" w:rsidRDefault="005B2C5E" w:rsidP="005B2C5E">
            <w:pPr>
              <w:jc w:val="both"/>
              <w:rPr>
                <w:rFonts w:ascii="Tahoma" w:hAnsi="Tahoma" w:cs="Tahoma"/>
                <w:sz w:val="20"/>
                <w:szCs w:val="20"/>
              </w:rPr>
            </w:pPr>
            <w:proofErr w:type="gramStart"/>
            <w:r w:rsidRPr="005B2C5E">
              <w:rPr>
                <w:rFonts w:ascii="Tahoma" w:hAnsi="Tahoma" w:cs="Tahoma"/>
                <w:sz w:val="20"/>
                <w:szCs w:val="20"/>
              </w:rPr>
              <w:t>ç</w:t>
            </w:r>
            <w:proofErr w:type="gramEnd"/>
            <w:r w:rsidRPr="005B2C5E">
              <w:rPr>
                <w:rFonts w:ascii="Tahoma" w:hAnsi="Tahoma" w:cs="Tahoma"/>
                <w:sz w:val="20"/>
                <w:szCs w:val="20"/>
              </w:rPr>
              <w:t>) 23 üncü maddesinin birinci fıkrasının (10) numaralı bendinde yer alan, işverenlerce hizmet erbabının işyerine gidip gelmesi için sağlanan menfaatlere ilişkin istisna tutarı 126 TL,</w:t>
            </w:r>
          </w:p>
          <w:p w14:paraId="7DF6577D"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d) 31 inci maddesinin ikinci fıkrasında yer alan engellilik indirimi tutarları;</w:t>
            </w:r>
          </w:p>
          <w:p w14:paraId="6E8760CD"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Birinci derece engelliler için      9.900 TL,</w:t>
            </w:r>
          </w:p>
          <w:p w14:paraId="5A998531"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İkinci derece engelliler için        5.700 TL,</w:t>
            </w:r>
          </w:p>
          <w:p w14:paraId="4E979838"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Üçüncü derece engelliler için     2.400 TL,</w:t>
            </w:r>
          </w:p>
          <w:p w14:paraId="28B77A02"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e) 40 ıncı maddesinin birinci fıkrasının;</w:t>
            </w:r>
          </w:p>
          <w:p w14:paraId="21D05427"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(1) numaralı bendinde yer alan kiralama yoluyla edinilen binek otomobillerinin her birine ilişkin aylık kira bedeli 37.000 TL, gider olarak indirim konusu yapılabilecek özel tüketim vergisi ve katma değer vergisinin toplam tutarı 990.000 TL,</w:t>
            </w:r>
          </w:p>
          <w:p w14:paraId="50392333"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(7) numaralı bendinde yer alan amortisman olarak indirim konusu yapılabilecek tutar; özel tüketim vergisi ve katma değer vergisi hariç 1.100.000 TL, vergilerin maliyet bedeline eklendiği veya binek otomobilin ikinci el olarak iktisap edildiği hallerde 2.100.000 TL,</w:t>
            </w:r>
          </w:p>
          <w:p w14:paraId="3B083CDC"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xml:space="preserve">f) </w:t>
            </w:r>
            <w:proofErr w:type="gramStart"/>
            <w:r w:rsidRPr="005B2C5E">
              <w:rPr>
                <w:rFonts w:ascii="Tahoma" w:hAnsi="Tahoma" w:cs="Tahoma"/>
                <w:sz w:val="20"/>
                <w:szCs w:val="20"/>
              </w:rPr>
              <w:t>47 nci</w:t>
            </w:r>
            <w:proofErr w:type="gramEnd"/>
            <w:r w:rsidRPr="005B2C5E">
              <w:rPr>
                <w:rFonts w:ascii="Tahoma" w:hAnsi="Tahoma" w:cs="Tahoma"/>
                <w:sz w:val="20"/>
                <w:szCs w:val="20"/>
              </w:rPr>
              <w:t> maddesinin birinci fıkrasının (2) numaralı bendinde yer alan yıllık kira bedeli toplamı;</w:t>
            </w:r>
          </w:p>
          <w:p w14:paraId="46139BE3"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Büyükşehir belediye sınırları içinde 79.000 TL,</w:t>
            </w:r>
          </w:p>
          <w:p w14:paraId="795036BE"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Diğer yerlerde 48.000 TL,</w:t>
            </w:r>
          </w:p>
          <w:p w14:paraId="15510AB7"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g) 48 inci maddesinin birinci fıkrasında yer alan hadler;</w:t>
            </w:r>
          </w:p>
          <w:p w14:paraId="6114D356" w14:textId="77777777" w:rsidR="005B2C5E" w:rsidRPr="005B2C5E" w:rsidRDefault="005B2C5E" w:rsidP="005B2C5E">
            <w:pPr>
              <w:jc w:val="both"/>
              <w:rPr>
                <w:rFonts w:ascii="Tahoma" w:hAnsi="Tahoma" w:cs="Tahoma"/>
                <w:sz w:val="20"/>
                <w:szCs w:val="20"/>
              </w:rPr>
            </w:pPr>
            <w:proofErr w:type="gramStart"/>
            <w:r w:rsidRPr="005B2C5E">
              <w:rPr>
                <w:rFonts w:ascii="Tahoma" w:hAnsi="Tahoma" w:cs="Tahoma"/>
                <w:sz w:val="20"/>
                <w:szCs w:val="20"/>
              </w:rPr>
              <w:t>-  (</w:t>
            </w:r>
            <w:proofErr w:type="gramEnd"/>
            <w:r w:rsidRPr="005B2C5E">
              <w:rPr>
                <w:rFonts w:ascii="Tahoma" w:hAnsi="Tahoma" w:cs="Tahoma"/>
                <w:sz w:val="20"/>
                <w:szCs w:val="20"/>
              </w:rPr>
              <w:t>1) numaralı bent için 990.000 TL ve 1.580.000 TL,</w:t>
            </w:r>
          </w:p>
          <w:p w14:paraId="76FC87AB" w14:textId="77777777" w:rsidR="005B2C5E" w:rsidRPr="005B2C5E" w:rsidRDefault="005B2C5E" w:rsidP="005B2C5E">
            <w:pPr>
              <w:jc w:val="both"/>
              <w:rPr>
                <w:rFonts w:ascii="Tahoma" w:hAnsi="Tahoma" w:cs="Tahoma"/>
                <w:sz w:val="20"/>
                <w:szCs w:val="20"/>
              </w:rPr>
            </w:pPr>
            <w:proofErr w:type="gramStart"/>
            <w:r w:rsidRPr="005B2C5E">
              <w:rPr>
                <w:rFonts w:ascii="Tahoma" w:hAnsi="Tahoma" w:cs="Tahoma"/>
                <w:sz w:val="20"/>
                <w:szCs w:val="20"/>
              </w:rPr>
              <w:t>-  (</w:t>
            </w:r>
            <w:proofErr w:type="gramEnd"/>
            <w:r w:rsidRPr="005B2C5E">
              <w:rPr>
                <w:rFonts w:ascii="Tahoma" w:hAnsi="Tahoma" w:cs="Tahoma"/>
                <w:sz w:val="20"/>
                <w:szCs w:val="20"/>
              </w:rPr>
              <w:t>2) numaralı bent için 480.000 TL,</w:t>
            </w:r>
          </w:p>
          <w:p w14:paraId="50EDADDF" w14:textId="77777777" w:rsidR="005B2C5E" w:rsidRPr="005B2C5E" w:rsidRDefault="005B2C5E" w:rsidP="005B2C5E">
            <w:pPr>
              <w:jc w:val="both"/>
              <w:rPr>
                <w:rFonts w:ascii="Tahoma" w:hAnsi="Tahoma" w:cs="Tahoma"/>
                <w:sz w:val="20"/>
                <w:szCs w:val="20"/>
              </w:rPr>
            </w:pPr>
            <w:proofErr w:type="gramStart"/>
            <w:r w:rsidRPr="005B2C5E">
              <w:rPr>
                <w:rFonts w:ascii="Tahoma" w:hAnsi="Tahoma" w:cs="Tahoma"/>
                <w:sz w:val="20"/>
                <w:szCs w:val="20"/>
              </w:rPr>
              <w:t>-  (</w:t>
            </w:r>
            <w:proofErr w:type="gramEnd"/>
            <w:r w:rsidRPr="005B2C5E">
              <w:rPr>
                <w:rFonts w:ascii="Tahoma" w:hAnsi="Tahoma" w:cs="Tahoma"/>
                <w:sz w:val="20"/>
                <w:szCs w:val="20"/>
              </w:rPr>
              <w:t>3) numaralı bent için 990.000 TL,</w:t>
            </w:r>
          </w:p>
          <w:p w14:paraId="49341C80" w14:textId="77777777" w:rsidR="005B2C5E" w:rsidRPr="005B2C5E" w:rsidRDefault="005B2C5E" w:rsidP="005B2C5E">
            <w:pPr>
              <w:jc w:val="both"/>
              <w:rPr>
                <w:rFonts w:ascii="Tahoma" w:hAnsi="Tahoma" w:cs="Tahoma"/>
                <w:sz w:val="20"/>
                <w:szCs w:val="20"/>
              </w:rPr>
            </w:pPr>
            <w:proofErr w:type="gramStart"/>
            <w:r w:rsidRPr="005B2C5E">
              <w:rPr>
                <w:rFonts w:ascii="Tahoma" w:hAnsi="Tahoma" w:cs="Tahoma"/>
                <w:sz w:val="20"/>
                <w:szCs w:val="20"/>
              </w:rPr>
              <w:t>ğ</w:t>
            </w:r>
            <w:proofErr w:type="gramEnd"/>
            <w:r w:rsidRPr="005B2C5E">
              <w:rPr>
                <w:rFonts w:ascii="Tahoma" w:hAnsi="Tahoma" w:cs="Tahoma"/>
                <w:sz w:val="20"/>
                <w:szCs w:val="20"/>
              </w:rPr>
              <w:t>) 68 inci maddesinin birinci fıkrasının;</w:t>
            </w:r>
          </w:p>
          <w:p w14:paraId="6F364831"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(4) numaralı bendinde yer alan amortisman olarak indirim konusu yapılabilecek tutar; özel tüketim vergisi ve katma değer vergisi hariç 1.100.000 TL, vergilerin maliyet bedeline eklendiği veya binek otomobilin ikinci el olarak iktisap edildiği hallerde 2.100.000 TL,</w:t>
            </w:r>
          </w:p>
          <w:p w14:paraId="107C7D02"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(5) numaralı bendinde yer alan kiralama yoluyla edinilen binek otomobillerinin her birine ilişkin aylık kira bedeli 37.000 TL, gider olarak indirim konusu yapılabilecek özel tüketim vergisi ve katma değer vergisinin toplam tutarı 990.000 TL,</w:t>
            </w:r>
          </w:p>
          <w:p w14:paraId="12D47D49"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h) Mükerrer 80 inci maddesinin üçüncü fıkrasında yer alan değer artışı kazançlarına ilişkin istisna tutarı 120.000 TL,</w:t>
            </w:r>
          </w:p>
          <w:p w14:paraId="7CD71EE6" w14:textId="77777777" w:rsidR="005B2C5E" w:rsidRPr="005B2C5E" w:rsidRDefault="005B2C5E" w:rsidP="005B2C5E">
            <w:pPr>
              <w:jc w:val="both"/>
              <w:rPr>
                <w:rFonts w:ascii="Tahoma" w:hAnsi="Tahoma" w:cs="Tahoma"/>
                <w:sz w:val="20"/>
                <w:szCs w:val="20"/>
              </w:rPr>
            </w:pPr>
            <w:proofErr w:type="gramStart"/>
            <w:r w:rsidRPr="005B2C5E">
              <w:rPr>
                <w:rFonts w:ascii="Tahoma" w:hAnsi="Tahoma" w:cs="Tahoma"/>
                <w:sz w:val="20"/>
                <w:szCs w:val="20"/>
              </w:rPr>
              <w:t>ı</w:t>
            </w:r>
            <w:proofErr w:type="gramEnd"/>
            <w:r w:rsidRPr="005B2C5E">
              <w:rPr>
                <w:rFonts w:ascii="Tahoma" w:hAnsi="Tahoma" w:cs="Tahoma"/>
                <w:sz w:val="20"/>
                <w:szCs w:val="20"/>
              </w:rPr>
              <w:t>) 82 nci maddesinin ikinci fıkrasında yer alan arızi kazançlara ilişkin istisna tutarı 280.000 TL,</w:t>
            </w:r>
          </w:p>
          <w:p w14:paraId="63C96566"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xml:space="preserve">i) </w:t>
            </w:r>
            <w:proofErr w:type="gramStart"/>
            <w:r w:rsidRPr="005B2C5E">
              <w:rPr>
                <w:rFonts w:ascii="Tahoma" w:hAnsi="Tahoma" w:cs="Tahoma"/>
                <w:sz w:val="20"/>
                <w:szCs w:val="20"/>
              </w:rPr>
              <w:t>86 </w:t>
            </w:r>
            <w:proofErr w:type="spellStart"/>
            <w:r w:rsidRPr="005B2C5E">
              <w:rPr>
                <w:rFonts w:ascii="Tahoma" w:hAnsi="Tahoma" w:cs="Tahoma"/>
                <w:sz w:val="20"/>
                <w:szCs w:val="20"/>
              </w:rPr>
              <w:t>ncı</w:t>
            </w:r>
            <w:proofErr w:type="spellEnd"/>
            <w:proofErr w:type="gramEnd"/>
            <w:r w:rsidRPr="005B2C5E">
              <w:rPr>
                <w:rFonts w:ascii="Tahoma" w:hAnsi="Tahoma" w:cs="Tahoma"/>
                <w:sz w:val="20"/>
                <w:szCs w:val="20"/>
              </w:rPr>
              <w:t> maddesinin birinci fıkrasının (1) numaralı bendinin (d) alt bendinde yer alan </w:t>
            </w:r>
            <w:proofErr w:type="spellStart"/>
            <w:r w:rsidRPr="005B2C5E">
              <w:rPr>
                <w:rFonts w:ascii="Tahoma" w:hAnsi="Tahoma" w:cs="Tahoma"/>
                <w:sz w:val="20"/>
                <w:szCs w:val="20"/>
              </w:rPr>
              <w:t>tevkifata</w:t>
            </w:r>
            <w:proofErr w:type="spellEnd"/>
            <w:r w:rsidRPr="005B2C5E">
              <w:rPr>
                <w:rFonts w:ascii="Tahoma" w:hAnsi="Tahoma" w:cs="Tahoma"/>
                <w:sz w:val="20"/>
                <w:szCs w:val="20"/>
              </w:rPr>
              <w:t> ve istisnaya konu olmayan menkul ve gayrimenkul sermaye iratlarına ilişkin beyanname verme sınırı 18.000 TL,</w:t>
            </w:r>
          </w:p>
          <w:p w14:paraId="4043E008" w14:textId="77777777" w:rsidR="005B2C5E" w:rsidRPr="005B2C5E" w:rsidRDefault="005B2C5E" w:rsidP="005B2C5E">
            <w:pPr>
              <w:jc w:val="both"/>
              <w:rPr>
                <w:rFonts w:ascii="Tahoma" w:hAnsi="Tahoma" w:cs="Tahoma"/>
                <w:sz w:val="20"/>
                <w:szCs w:val="20"/>
              </w:rPr>
            </w:pPr>
            <w:proofErr w:type="gramStart"/>
            <w:r w:rsidRPr="005B2C5E">
              <w:rPr>
                <w:rFonts w:ascii="Tahoma" w:hAnsi="Tahoma" w:cs="Tahoma"/>
                <w:sz w:val="20"/>
                <w:szCs w:val="20"/>
              </w:rPr>
              <w:t>olarak</w:t>
            </w:r>
            <w:proofErr w:type="gramEnd"/>
            <w:r w:rsidRPr="005B2C5E">
              <w:rPr>
                <w:rFonts w:ascii="Tahoma" w:hAnsi="Tahoma" w:cs="Tahoma"/>
                <w:sz w:val="20"/>
                <w:szCs w:val="20"/>
              </w:rPr>
              <w:t> tespit edilmiştir.</w:t>
            </w:r>
          </w:p>
          <w:p w14:paraId="06F674EB"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xml:space="preserve">(3) 193 sayılı Kanunun </w:t>
            </w:r>
            <w:proofErr w:type="gramStart"/>
            <w:r w:rsidRPr="005B2C5E">
              <w:rPr>
                <w:rFonts w:ascii="Tahoma" w:hAnsi="Tahoma" w:cs="Tahoma"/>
                <w:sz w:val="20"/>
                <w:szCs w:val="20"/>
              </w:rPr>
              <w:t>103 üncü</w:t>
            </w:r>
            <w:proofErr w:type="gramEnd"/>
            <w:r w:rsidRPr="005B2C5E">
              <w:rPr>
                <w:rFonts w:ascii="Tahoma" w:hAnsi="Tahoma" w:cs="Tahoma"/>
                <w:sz w:val="20"/>
                <w:szCs w:val="20"/>
              </w:rPr>
              <w:t xml:space="preserve"> maddesinin birinci fıkrasında yer alan gelir vergisine tabi gelirlerin vergilendirilmesinde esas alınan tarife, 2025 takvim yılı gelirlerinin vergilendirilmesinde uygulanmak üzere aşağıdaki şekilde yeniden belirlenmiştir.</w:t>
            </w:r>
          </w:p>
          <w:p w14:paraId="37EFFEF6"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158.000 TL'ye kadar                                                                                                      </w:t>
            </w:r>
            <w:proofErr w:type="gramStart"/>
            <w:r w:rsidRPr="005B2C5E">
              <w:rPr>
                <w:rFonts w:ascii="Tahoma" w:hAnsi="Tahoma" w:cs="Tahoma"/>
                <w:sz w:val="20"/>
                <w:szCs w:val="20"/>
              </w:rPr>
              <w:t>% 15</w:t>
            </w:r>
            <w:proofErr w:type="gramEnd"/>
          </w:p>
          <w:p w14:paraId="0D1507ED"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330.000 TL'nin 158.000 TL'si için 23.700 TL, fazlası                                                   </w:t>
            </w:r>
            <w:proofErr w:type="gramStart"/>
            <w:r w:rsidRPr="005B2C5E">
              <w:rPr>
                <w:rFonts w:ascii="Tahoma" w:hAnsi="Tahoma" w:cs="Tahoma"/>
                <w:sz w:val="20"/>
                <w:szCs w:val="20"/>
              </w:rPr>
              <w:t>% 20</w:t>
            </w:r>
            <w:proofErr w:type="gramEnd"/>
          </w:p>
          <w:p w14:paraId="7ADDB96E"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800.000 TL'nin 330.000 TL'si için 58.100 TL (ücret gelirlerinde</w:t>
            </w:r>
          </w:p>
          <w:p w14:paraId="271FA2DB"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1.200.000 TL'nin 330.000 TL'si için 58.100 TL), fazlası                                              </w:t>
            </w:r>
            <w:proofErr w:type="gramStart"/>
            <w:r w:rsidRPr="005B2C5E">
              <w:rPr>
                <w:rFonts w:ascii="Tahoma" w:hAnsi="Tahoma" w:cs="Tahoma"/>
                <w:sz w:val="20"/>
                <w:szCs w:val="20"/>
              </w:rPr>
              <w:t>% 27</w:t>
            </w:r>
            <w:proofErr w:type="gramEnd"/>
          </w:p>
          <w:p w14:paraId="03B762A3"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4.300.000 TL'nin 800.000 TL'si için 185.000 TL (ücret gelirlerinde</w:t>
            </w:r>
          </w:p>
          <w:p w14:paraId="2D4FA7BC"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4.300.000 TL'nin 1.200.000 TL'si için 293.000 TL), fazlası                                         </w:t>
            </w:r>
            <w:proofErr w:type="gramStart"/>
            <w:r w:rsidRPr="005B2C5E">
              <w:rPr>
                <w:rFonts w:ascii="Tahoma" w:hAnsi="Tahoma" w:cs="Tahoma"/>
                <w:sz w:val="20"/>
                <w:szCs w:val="20"/>
              </w:rPr>
              <w:t>% 35</w:t>
            </w:r>
            <w:proofErr w:type="gramEnd"/>
          </w:p>
          <w:p w14:paraId="63E2AAB1"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4.300.000 TL'den fazlasının 4.300.000 TL'si için 1.410.000 TL</w:t>
            </w:r>
          </w:p>
          <w:p w14:paraId="09BB2883"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w:t>
            </w:r>
            <w:proofErr w:type="gramStart"/>
            <w:r w:rsidRPr="005B2C5E">
              <w:rPr>
                <w:rFonts w:ascii="Tahoma" w:hAnsi="Tahoma" w:cs="Tahoma"/>
                <w:sz w:val="20"/>
                <w:szCs w:val="20"/>
              </w:rPr>
              <w:t>ücret</w:t>
            </w:r>
            <w:proofErr w:type="gramEnd"/>
            <w:r w:rsidRPr="005B2C5E">
              <w:rPr>
                <w:rFonts w:ascii="Tahoma" w:hAnsi="Tahoma" w:cs="Tahoma"/>
                <w:sz w:val="20"/>
                <w:szCs w:val="20"/>
              </w:rPr>
              <w:t xml:space="preserve"> gelirlerinde 4.300.000 TL'den fazlasının 4.300.000 TL'si için</w:t>
            </w:r>
          </w:p>
          <w:p w14:paraId="6C0DE5C1"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1.378.000 TL), fazlası                                                                                                   </w:t>
            </w:r>
            <w:proofErr w:type="gramStart"/>
            <w:r w:rsidRPr="005B2C5E">
              <w:rPr>
                <w:rFonts w:ascii="Tahoma" w:hAnsi="Tahoma" w:cs="Tahoma"/>
                <w:sz w:val="20"/>
                <w:szCs w:val="20"/>
              </w:rPr>
              <w:t>% 40</w:t>
            </w:r>
            <w:proofErr w:type="gramEnd"/>
          </w:p>
          <w:p w14:paraId="6C3417D8"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(4) 193 sayılı Kanunun mükerrer 121 inci maddesi hükmü uyarınca, anılan maddenin birinci fıkrasında yer alan tutar, 1/1/2025 tarihinden itibaren verilmesi gereken yıllık gelir ve kurumlar vergisi beyannamelerinde uygulanmak üzere 9.900.000 TL olarak tespit edilmiştir.</w:t>
            </w:r>
          </w:p>
          <w:p w14:paraId="2583A7B1" w14:textId="77777777" w:rsidR="005B2C5E" w:rsidRPr="005B2C5E" w:rsidRDefault="005B2C5E" w:rsidP="005B2C5E">
            <w:pPr>
              <w:jc w:val="both"/>
              <w:rPr>
                <w:rFonts w:ascii="Tahoma" w:hAnsi="Tahoma" w:cs="Tahoma"/>
                <w:b/>
                <w:bCs/>
                <w:sz w:val="20"/>
                <w:szCs w:val="20"/>
              </w:rPr>
            </w:pPr>
            <w:r w:rsidRPr="005B2C5E">
              <w:rPr>
                <w:rFonts w:ascii="Tahoma" w:hAnsi="Tahoma" w:cs="Tahoma"/>
                <w:b/>
                <w:bCs/>
                <w:sz w:val="20"/>
                <w:szCs w:val="20"/>
              </w:rPr>
              <w:t>ÜÇÜNCÜ BÖLÜM</w:t>
            </w:r>
          </w:p>
          <w:p w14:paraId="46C4EC45" w14:textId="77777777" w:rsidR="005B2C5E" w:rsidRPr="005B2C5E" w:rsidRDefault="005B2C5E" w:rsidP="005B2C5E">
            <w:pPr>
              <w:jc w:val="both"/>
              <w:rPr>
                <w:rFonts w:ascii="Tahoma" w:hAnsi="Tahoma" w:cs="Tahoma"/>
                <w:b/>
                <w:bCs/>
                <w:sz w:val="20"/>
                <w:szCs w:val="20"/>
              </w:rPr>
            </w:pPr>
            <w:r w:rsidRPr="005B2C5E">
              <w:rPr>
                <w:rFonts w:ascii="Tahoma" w:hAnsi="Tahoma" w:cs="Tahoma"/>
                <w:b/>
                <w:bCs/>
                <w:sz w:val="20"/>
                <w:szCs w:val="20"/>
              </w:rPr>
              <w:t>Basit Usulde Kazanç Tespiti ile İlgili Hususlar</w:t>
            </w:r>
          </w:p>
          <w:p w14:paraId="0BA8EB09"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Kar hadleri emsallerine göre düşük olarak tespit edilmiş bulunan emtia için özel hadler</w:t>
            </w:r>
          </w:p>
          <w:p w14:paraId="6A4D752F"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MADDE 4-</w:t>
            </w:r>
            <w:r w:rsidRPr="005B2C5E">
              <w:rPr>
                <w:rFonts w:ascii="Tahoma" w:hAnsi="Tahoma" w:cs="Tahoma"/>
                <w:sz w:val="20"/>
                <w:szCs w:val="20"/>
              </w:rPr>
              <w:t> (1) Milli piyango bileti, akaryakıt, şeker ve bunlar gibi kar hadleri emsallerine göre düşük olarak tespit edilmiş bulunan emtia için özel hadler belirleme yetkisi 193 sayılı Kanunun 48 inci maddesi ile Hazine ve Maliye Bakanlığına verilmiştir. Bu yetki kullanılarak 2024 yılı için 30/12/2023 tarihli ve 32415 ikinci mükerrer sayılı Resmî Gazete’de yayımlanan Gelir Vergisi Genel Tebliği (Seri No: 324) ile belirlenen tutarlar yeniden artırılmıştır.</w:t>
            </w:r>
          </w:p>
          <w:p w14:paraId="38957FC4"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(2) Buna göre, anılan maddelerin ticaretini yapanların, 2025 takvim yılında da basit usulden yararlanabilmeleri için alış, satış veya hasılatlarının 31/12/2024 tarihi itibarıyla aşağıda belirtilen hadleri aşmaması gerekmektedir:</w:t>
            </w:r>
          </w:p>
          <w:tbl>
            <w:tblPr>
              <w:tblW w:w="8222" w:type="dxa"/>
              <w:jc w:val="center"/>
              <w:tblCellMar>
                <w:left w:w="0" w:type="dxa"/>
                <w:right w:w="0" w:type="dxa"/>
              </w:tblCellMar>
              <w:tblLook w:val="04A0" w:firstRow="1" w:lastRow="0" w:firstColumn="1" w:lastColumn="0" w:noHBand="0" w:noVBand="1"/>
            </w:tblPr>
            <w:tblGrid>
              <w:gridCol w:w="2469"/>
              <w:gridCol w:w="1353"/>
              <w:gridCol w:w="1408"/>
              <w:gridCol w:w="1473"/>
              <w:gridCol w:w="1385"/>
              <w:gridCol w:w="134"/>
            </w:tblGrid>
            <w:tr w:rsidR="005B2C5E" w:rsidRPr="005B2C5E" w14:paraId="375F515C" w14:textId="77777777">
              <w:trPr>
                <w:trHeight w:val="20"/>
                <w:jc w:val="center"/>
              </w:trPr>
              <w:tc>
                <w:tcPr>
                  <w:tcW w:w="2674"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534710"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Emtianın Cinsi</w:t>
                  </w:r>
                </w:p>
              </w:tc>
              <w:tc>
                <w:tcPr>
                  <w:tcW w:w="2882" w:type="dxa"/>
                  <w:gridSpan w:val="2"/>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7DA07E1"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Büyükşehir Belediye Sınırları Dışında Kalan Yerlerde</w:t>
                  </w:r>
                </w:p>
              </w:tc>
              <w:tc>
                <w:tcPr>
                  <w:tcW w:w="2995" w:type="dxa"/>
                  <w:gridSpan w:val="2"/>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26D1F21"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Büyükşehir Belediye Sınırları İçinde Kalan Yerlerde</w:t>
                  </w:r>
                </w:p>
              </w:tc>
              <w:tc>
                <w:tcPr>
                  <w:tcW w:w="144" w:type="dxa"/>
                  <w:vAlign w:val="center"/>
                  <w:hideMark/>
                </w:tcPr>
                <w:p w14:paraId="7F4FE709"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w:t>
                  </w:r>
                </w:p>
              </w:tc>
            </w:tr>
            <w:tr w:rsidR="005B2C5E" w:rsidRPr="005B2C5E" w14:paraId="056B004E" w14:textId="77777777">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EC11175" w14:textId="77777777" w:rsidR="005B2C5E" w:rsidRPr="005B2C5E" w:rsidRDefault="005B2C5E" w:rsidP="005B2C5E">
                  <w:pPr>
                    <w:jc w:val="both"/>
                    <w:rPr>
                      <w:rFonts w:ascii="Tahoma" w:hAnsi="Tahoma" w:cs="Tahoma"/>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14:paraId="2FC7A9F2" w14:textId="77777777" w:rsidR="005B2C5E" w:rsidRPr="005B2C5E" w:rsidRDefault="005B2C5E" w:rsidP="005B2C5E">
                  <w:pPr>
                    <w:jc w:val="both"/>
                    <w:rPr>
                      <w:rFonts w:ascii="Tahoma" w:hAnsi="Tahoma" w:cs="Tahoma"/>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14:paraId="19CF66BC" w14:textId="77777777" w:rsidR="005B2C5E" w:rsidRPr="005B2C5E" w:rsidRDefault="005B2C5E" w:rsidP="005B2C5E">
                  <w:pPr>
                    <w:jc w:val="both"/>
                    <w:rPr>
                      <w:rFonts w:ascii="Tahoma" w:hAnsi="Tahoma" w:cs="Tahoma"/>
                      <w:sz w:val="20"/>
                      <w:szCs w:val="20"/>
                    </w:rPr>
                  </w:pPr>
                </w:p>
              </w:tc>
              <w:tc>
                <w:tcPr>
                  <w:tcW w:w="144" w:type="dxa"/>
                  <w:vAlign w:val="center"/>
                  <w:hideMark/>
                </w:tcPr>
                <w:p w14:paraId="44A4E827"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w:t>
                  </w:r>
                </w:p>
              </w:tc>
            </w:tr>
            <w:tr w:rsidR="005B2C5E" w:rsidRPr="005B2C5E" w14:paraId="49A2E27B" w14:textId="77777777">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4F76588" w14:textId="77777777" w:rsidR="005B2C5E" w:rsidRPr="005B2C5E" w:rsidRDefault="005B2C5E" w:rsidP="005B2C5E">
                  <w:pPr>
                    <w:jc w:val="both"/>
                    <w:rPr>
                      <w:rFonts w:ascii="Tahoma" w:hAnsi="Tahoma" w:cs="Tahoma"/>
                      <w:sz w:val="20"/>
                      <w:szCs w:val="20"/>
                    </w:rPr>
                  </w:pPr>
                </w:p>
              </w:tc>
              <w:tc>
                <w:tcPr>
                  <w:tcW w:w="1409"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1FF1142"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Yıllık Alım Ölçüsü (TL)</w:t>
                  </w:r>
                </w:p>
              </w:tc>
              <w:tc>
                <w:tcPr>
                  <w:tcW w:w="1473"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4145FEBF"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Yıllık Satış Ölçüsü (TL)</w:t>
                  </w:r>
                </w:p>
              </w:tc>
              <w:tc>
                <w:tcPr>
                  <w:tcW w:w="1549"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354AC333"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Yıllık Alım Ölçüsü (TL)</w:t>
                  </w:r>
                </w:p>
              </w:tc>
              <w:tc>
                <w:tcPr>
                  <w:tcW w:w="1446"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102F3EE4"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Yıllık Satış Ölçüsü (TL)</w:t>
                  </w:r>
                </w:p>
              </w:tc>
              <w:tc>
                <w:tcPr>
                  <w:tcW w:w="144" w:type="dxa"/>
                  <w:vAlign w:val="center"/>
                  <w:hideMark/>
                </w:tcPr>
                <w:p w14:paraId="7F8C6F9D"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w:t>
                  </w:r>
                </w:p>
              </w:tc>
            </w:tr>
            <w:tr w:rsidR="005B2C5E" w:rsidRPr="005B2C5E" w14:paraId="44F5F51B" w14:textId="77777777">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8D759AF" w14:textId="77777777" w:rsidR="005B2C5E" w:rsidRPr="005B2C5E" w:rsidRDefault="005B2C5E" w:rsidP="005B2C5E">
                  <w:pPr>
                    <w:jc w:val="both"/>
                    <w:rPr>
                      <w:rFonts w:ascii="Tahoma" w:hAnsi="Tahoma" w:cs="Tahoma"/>
                      <w:sz w:val="20"/>
                      <w:szCs w:val="20"/>
                    </w:rPr>
                  </w:pPr>
                </w:p>
              </w:tc>
              <w:tc>
                <w:tcPr>
                  <w:tcW w:w="0" w:type="auto"/>
                  <w:vMerge/>
                  <w:tcBorders>
                    <w:top w:val="nil"/>
                    <w:left w:val="nil"/>
                    <w:bottom w:val="single" w:sz="8" w:space="0" w:color="auto"/>
                    <w:right w:val="single" w:sz="8" w:space="0" w:color="auto"/>
                  </w:tcBorders>
                  <w:vAlign w:val="center"/>
                  <w:hideMark/>
                </w:tcPr>
                <w:p w14:paraId="48984F9D" w14:textId="77777777" w:rsidR="005B2C5E" w:rsidRPr="005B2C5E" w:rsidRDefault="005B2C5E" w:rsidP="005B2C5E">
                  <w:pPr>
                    <w:jc w:val="both"/>
                    <w:rPr>
                      <w:rFonts w:ascii="Tahoma" w:hAnsi="Tahoma" w:cs="Tahoma"/>
                      <w:sz w:val="20"/>
                      <w:szCs w:val="20"/>
                    </w:rPr>
                  </w:pPr>
                </w:p>
              </w:tc>
              <w:tc>
                <w:tcPr>
                  <w:tcW w:w="0" w:type="auto"/>
                  <w:vMerge/>
                  <w:tcBorders>
                    <w:top w:val="nil"/>
                    <w:left w:val="nil"/>
                    <w:bottom w:val="single" w:sz="8" w:space="0" w:color="auto"/>
                    <w:right w:val="single" w:sz="8" w:space="0" w:color="auto"/>
                  </w:tcBorders>
                  <w:vAlign w:val="center"/>
                  <w:hideMark/>
                </w:tcPr>
                <w:p w14:paraId="163306FD" w14:textId="77777777" w:rsidR="005B2C5E" w:rsidRPr="005B2C5E" w:rsidRDefault="005B2C5E" w:rsidP="005B2C5E">
                  <w:pPr>
                    <w:jc w:val="both"/>
                    <w:rPr>
                      <w:rFonts w:ascii="Tahoma" w:hAnsi="Tahoma" w:cs="Tahoma"/>
                      <w:sz w:val="20"/>
                      <w:szCs w:val="20"/>
                    </w:rPr>
                  </w:pPr>
                </w:p>
              </w:tc>
              <w:tc>
                <w:tcPr>
                  <w:tcW w:w="0" w:type="auto"/>
                  <w:vMerge/>
                  <w:tcBorders>
                    <w:top w:val="nil"/>
                    <w:left w:val="nil"/>
                    <w:bottom w:val="single" w:sz="8" w:space="0" w:color="auto"/>
                    <w:right w:val="single" w:sz="8" w:space="0" w:color="auto"/>
                  </w:tcBorders>
                  <w:vAlign w:val="center"/>
                  <w:hideMark/>
                </w:tcPr>
                <w:p w14:paraId="3E9FE04B" w14:textId="77777777" w:rsidR="005B2C5E" w:rsidRPr="005B2C5E" w:rsidRDefault="005B2C5E" w:rsidP="005B2C5E">
                  <w:pPr>
                    <w:jc w:val="both"/>
                    <w:rPr>
                      <w:rFonts w:ascii="Tahoma" w:hAnsi="Tahoma" w:cs="Tahoma"/>
                      <w:sz w:val="20"/>
                      <w:szCs w:val="20"/>
                    </w:rPr>
                  </w:pPr>
                </w:p>
              </w:tc>
              <w:tc>
                <w:tcPr>
                  <w:tcW w:w="0" w:type="auto"/>
                  <w:vMerge/>
                  <w:tcBorders>
                    <w:top w:val="nil"/>
                    <w:left w:val="nil"/>
                    <w:bottom w:val="single" w:sz="8" w:space="0" w:color="auto"/>
                    <w:right w:val="single" w:sz="8" w:space="0" w:color="auto"/>
                  </w:tcBorders>
                  <w:vAlign w:val="center"/>
                  <w:hideMark/>
                </w:tcPr>
                <w:p w14:paraId="166C628F" w14:textId="77777777" w:rsidR="005B2C5E" w:rsidRPr="005B2C5E" w:rsidRDefault="005B2C5E" w:rsidP="005B2C5E">
                  <w:pPr>
                    <w:jc w:val="both"/>
                    <w:rPr>
                      <w:rFonts w:ascii="Tahoma" w:hAnsi="Tahoma" w:cs="Tahoma"/>
                      <w:sz w:val="20"/>
                      <w:szCs w:val="20"/>
                    </w:rPr>
                  </w:pPr>
                </w:p>
              </w:tc>
              <w:tc>
                <w:tcPr>
                  <w:tcW w:w="144" w:type="dxa"/>
                  <w:vAlign w:val="center"/>
                  <w:hideMark/>
                </w:tcPr>
                <w:p w14:paraId="570DBC19"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w:t>
                  </w:r>
                </w:p>
              </w:tc>
            </w:tr>
            <w:tr w:rsidR="005B2C5E" w:rsidRPr="005B2C5E" w14:paraId="7AFAB027" w14:textId="77777777">
              <w:trPr>
                <w:trHeight w:val="20"/>
                <w:jc w:val="center"/>
              </w:trPr>
              <w:tc>
                <w:tcPr>
                  <w:tcW w:w="2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C8E779"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Değerli </w:t>
                  </w:r>
                  <w:proofErr w:type="gramStart"/>
                  <w:r w:rsidRPr="005B2C5E">
                    <w:rPr>
                      <w:rFonts w:ascii="Tahoma" w:hAnsi="Tahoma" w:cs="Tahoma"/>
                      <w:sz w:val="20"/>
                      <w:szCs w:val="20"/>
                    </w:rPr>
                    <w:t>Kağıt</w:t>
                  </w:r>
                  <w:proofErr w:type="gramEnd"/>
                </w:p>
              </w:tc>
              <w:tc>
                <w:tcPr>
                  <w:tcW w:w="1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64DE8D"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1.690.000</w:t>
                  </w:r>
                </w:p>
              </w:tc>
              <w:tc>
                <w:tcPr>
                  <w:tcW w:w="147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BAC002"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1.800.000</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64DF13"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2.000.000</w:t>
                  </w:r>
                </w:p>
              </w:tc>
              <w:tc>
                <w:tcPr>
                  <w:tcW w:w="14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CEA747"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2.400.000</w:t>
                  </w:r>
                </w:p>
              </w:tc>
              <w:tc>
                <w:tcPr>
                  <w:tcW w:w="144" w:type="dxa"/>
                  <w:vAlign w:val="center"/>
                  <w:hideMark/>
                </w:tcPr>
                <w:p w14:paraId="09F444A9"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w:t>
                  </w:r>
                </w:p>
              </w:tc>
            </w:tr>
            <w:tr w:rsidR="005B2C5E" w:rsidRPr="005B2C5E" w14:paraId="57F1D4F8" w14:textId="77777777">
              <w:trPr>
                <w:trHeight w:val="20"/>
                <w:jc w:val="center"/>
              </w:trPr>
              <w:tc>
                <w:tcPr>
                  <w:tcW w:w="2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44C12C"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Şeker – Çay</w:t>
                  </w:r>
                </w:p>
              </w:tc>
              <w:tc>
                <w:tcPr>
                  <w:tcW w:w="1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B3C2AD"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1.200.000</w:t>
                  </w:r>
                </w:p>
              </w:tc>
              <w:tc>
                <w:tcPr>
                  <w:tcW w:w="147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402CE8"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1.690.000</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0793C0"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1.580.000</w:t>
                  </w:r>
                </w:p>
              </w:tc>
              <w:tc>
                <w:tcPr>
                  <w:tcW w:w="14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BC13EC"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2.000.000</w:t>
                  </w:r>
                </w:p>
              </w:tc>
              <w:tc>
                <w:tcPr>
                  <w:tcW w:w="144" w:type="dxa"/>
                  <w:vAlign w:val="center"/>
                  <w:hideMark/>
                </w:tcPr>
                <w:p w14:paraId="79554981"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w:t>
                  </w:r>
                </w:p>
              </w:tc>
            </w:tr>
            <w:tr w:rsidR="005B2C5E" w:rsidRPr="005B2C5E" w14:paraId="0CBECFED" w14:textId="77777777">
              <w:trPr>
                <w:trHeight w:val="20"/>
                <w:jc w:val="center"/>
              </w:trPr>
              <w:tc>
                <w:tcPr>
                  <w:tcW w:w="2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8418B7"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Milli </w:t>
                  </w:r>
                  <w:proofErr w:type="spellStart"/>
                  <w:r w:rsidRPr="005B2C5E">
                    <w:rPr>
                      <w:rFonts w:ascii="Tahoma" w:hAnsi="Tahoma" w:cs="Tahoma"/>
                      <w:sz w:val="20"/>
                      <w:szCs w:val="20"/>
                    </w:rPr>
                    <w:t>Piy</w:t>
                  </w:r>
                  <w:proofErr w:type="spellEnd"/>
                  <w:r w:rsidRPr="005B2C5E">
                    <w:rPr>
                      <w:rFonts w:ascii="Tahoma" w:hAnsi="Tahoma" w:cs="Tahoma"/>
                      <w:sz w:val="20"/>
                      <w:szCs w:val="20"/>
                    </w:rPr>
                    <w:t>. Bil., Hemen Kazan, Süper Toto vb.</w:t>
                  </w:r>
                </w:p>
              </w:tc>
              <w:tc>
                <w:tcPr>
                  <w:tcW w:w="1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B51087"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1.200.000</w:t>
                  </w:r>
                </w:p>
              </w:tc>
              <w:tc>
                <w:tcPr>
                  <w:tcW w:w="147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47E230"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1.690.000</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BD086D"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1.580.000</w:t>
                  </w:r>
                </w:p>
              </w:tc>
              <w:tc>
                <w:tcPr>
                  <w:tcW w:w="14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F93842"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2.000.000</w:t>
                  </w:r>
                </w:p>
              </w:tc>
              <w:tc>
                <w:tcPr>
                  <w:tcW w:w="144" w:type="dxa"/>
                  <w:vAlign w:val="center"/>
                  <w:hideMark/>
                </w:tcPr>
                <w:p w14:paraId="37EFFCB7"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w:t>
                  </w:r>
                </w:p>
              </w:tc>
            </w:tr>
            <w:tr w:rsidR="005B2C5E" w:rsidRPr="005B2C5E" w14:paraId="1FCF887C" w14:textId="77777777">
              <w:trPr>
                <w:trHeight w:val="20"/>
                <w:jc w:val="center"/>
              </w:trPr>
              <w:tc>
                <w:tcPr>
                  <w:tcW w:w="2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3B699A"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İçki (Bira ve Şarap Hariç) – İspirto – Sigara – Tütün</w:t>
                  </w:r>
                </w:p>
              </w:tc>
              <w:tc>
                <w:tcPr>
                  <w:tcW w:w="1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4EFCC1"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1.200.000</w:t>
                  </w:r>
                </w:p>
              </w:tc>
              <w:tc>
                <w:tcPr>
                  <w:tcW w:w="147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4360B6"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1.690.000</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E215D6"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1.580.000</w:t>
                  </w:r>
                </w:p>
              </w:tc>
              <w:tc>
                <w:tcPr>
                  <w:tcW w:w="14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6C85FE"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2.000.000</w:t>
                  </w:r>
                </w:p>
              </w:tc>
              <w:tc>
                <w:tcPr>
                  <w:tcW w:w="144" w:type="dxa"/>
                  <w:vAlign w:val="center"/>
                  <w:hideMark/>
                </w:tcPr>
                <w:p w14:paraId="2F5D0D2F"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w:t>
                  </w:r>
                </w:p>
              </w:tc>
            </w:tr>
            <w:tr w:rsidR="005B2C5E" w:rsidRPr="005B2C5E" w14:paraId="21D0FEF7" w14:textId="77777777">
              <w:trPr>
                <w:trHeight w:val="20"/>
                <w:jc w:val="center"/>
              </w:trPr>
              <w:tc>
                <w:tcPr>
                  <w:tcW w:w="2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B3D0AA"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Akaryakıt (LPG hariç)</w:t>
                  </w:r>
                </w:p>
              </w:tc>
              <w:tc>
                <w:tcPr>
                  <w:tcW w:w="1409"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4858FEDF"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1.800.000</w:t>
                  </w:r>
                </w:p>
              </w:tc>
              <w:tc>
                <w:tcPr>
                  <w:tcW w:w="147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368742"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2.000.000</w:t>
                  </w:r>
                </w:p>
              </w:tc>
              <w:tc>
                <w:tcPr>
                  <w:tcW w:w="15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EFA513"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2.400.000</w:t>
                  </w:r>
                </w:p>
              </w:tc>
              <w:tc>
                <w:tcPr>
                  <w:tcW w:w="14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39CA94A"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2.800.000</w:t>
                  </w:r>
                </w:p>
              </w:tc>
              <w:tc>
                <w:tcPr>
                  <w:tcW w:w="144" w:type="dxa"/>
                  <w:vAlign w:val="center"/>
                  <w:hideMark/>
                </w:tcPr>
                <w:p w14:paraId="7C17381F"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w:t>
                  </w:r>
                </w:p>
              </w:tc>
            </w:tr>
          </w:tbl>
          <w:p w14:paraId="69D20D63"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(3) Belirtilen bu malların alım satımı ile uğraşanlar hakkında, basit usulün özel şartları bakımından yukarıdaki hadler dikkate alınmak suretiyle, 2/5/1982 tarihli ve 17682 sayılı Resmî Gazete’de yayımlanan Gelir Vergisi Genel Tebliği (Seri No: 136)’</w:t>
            </w:r>
            <w:proofErr w:type="spellStart"/>
            <w:r w:rsidRPr="005B2C5E">
              <w:rPr>
                <w:rFonts w:ascii="Tahoma" w:hAnsi="Tahoma" w:cs="Tahoma"/>
                <w:sz w:val="20"/>
                <w:szCs w:val="20"/>
              </w:rPr>
              <w:t>ndeki</w:t>
            </w:r>
            <w:proofErr w:type="spellEnd"/>
            <w:r w:rsidRPr="005B2C5E">
              <w:rPr>
                <w:rFonts w:ascii="Tahoma" w:hAnsi="Tahoma" w:cs="Tahoma"/>
                <w:sz w:val="20"/>
                <w:szCs w:val="20"/>
              </w:rPr>
              <w:t> hesaplamalar doğrultusunda işlem yapılacaktır.</w:t>
            </w:r>
          </w:p>
          <w:p w14:paraId="3A588FFE"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Basit usule tabi mükelleflerde gün sonunda toplu belge düzenleme uygulaması</w:t>
            </w:r>
          </w:p>
          <w:p w14:paraId="7298D4DE"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MADDE 5-</w:t>
            </w:r>
            <w:r w:rsidRPr="005B2C5E">
              <w:rPr>
                <w:rFonts w:ascii="Tahoma" w:hAnsi="Tahoma" w:cs="Tahoma"/>
                <w:sz w:val="20"/>
                <w:szCs w:val="20"/>
              </w:rPr>
              <w:t xml:space="preserve"> (1) Basit usule tabi mükelleflerle ilgili 6/12/1998 tarihli ve 23545 sayılı Resmî Gazete’de yayımlanan Gelir Vergisi Genel Tebliği (Seri No: 215) ile getirilen, belge vermedikleri günlük hasılatları için gün sonunda tek bir fatura düzenlenmesine ilişkin uygulamanın, 31/12/2025 tarihine kadar devam etmesi Vergi Usul Kanununun mükerrer </w:t>
            </w:r>
            <w:proofErr w:type="gramStart"/>
            <w:r w:rsidRPr="005B2C5E">
              <w:rPr>
                <w:rFonts w:ascii="Tahoma" w:hAnsi="Tahoma" w:cs="Tahoma"/>
                <w:sz w:val="20"/>
                <w:szCs w:val="20"/>
              </w:rPr>
              <w:t>257 nci</w:t>
            </w:r>
            <w:proofErr w:type="gramEnd"/>
            <w:r w:rsidRPr="005B2C5E">
              <w:rPr>
                <w:rFonts w:ascii="Tahoma" w:hAnsi="Tahoma" w:cs="Tahoma"/>
                <w:sz w:val="20"/>
                <w:szCs w:val="20"/>
              </w:rPr>
              <w:t> maddesinin Bakanlığımıza verdiği yetkiye istinaden uygun görülmüştür.</w:t>
            </w:r>
          </w:p>
          <w:p w14:paraId="6C2B416E" w14:textId="77777777" w:rsidR="005B2C5E" w:rsidRPr="005B2C5E" w:rsidRDefault="005B2C5E" w:rsidP="005B2C5E">
            <w:pPr>
              <w:jc w:val="both"/>
              <w:rPr>
                <w:rFonts w:ascii="Tahoma" w:hAnsi="Tahoma" w:cs="Tahoma"/>
                <w:b/>
                <w:bCs/>
                <w:sz w:val="20"/>
                <w:szCs w:val="20"/>
              </w:rPr>
            </w:pPr>
            <w:r w:rsidRPr="005B2C5E">
              <w:rPr>
                <w:rFonts w:ascii="Tahoma" w:hAnsi="Tahoma" w:cs="Tahoma"/>
                <w:b/>
                <w:bCs/>
                <w:sz w:val="20"/>
                <w:szCs w:val="20"/>
              </w:rPr>
              <w:t>DÖRDÜNCÜ BÖLÜM</w:t>
            </w:r>
          </w:p>
          <w:p w14:paraId="527A11AB" w14:textId="77777777" w:rsidR="005B2C5E" w:rsidRPr="005B2C5E" w:rsidRDefault="005B2C5E" w:rsidP="005B2C5E">
            <w:pPr>
              <w:jc w:val="both"/>
              <w:rPr>
                <w:rFonts w:ascii="Tahoma" w:hAnsi="Tahoma" w:cs="Tahoma"/>
                <w:b/>
                <w:bCs/>
                <w:sz w:val="20"/>
                <w:szCs w:val="20"/>
              </w:rPr>
            </w:pPr>
            <w:r w:rsidRPr="005B2C5E">
              <w:rPr>
                <w:rFonts w:ascii="Tahoma" w:hAnsi="Tahoma" w:cs="Tahoma"/>
                <w:b/>
                <w:bCs/>
                <w:sz w:val="20"/>
                <w:szCs w:val="20"/>
              </w:rPr>
              <w:t>Menkul Sermaye İradının Beyanında İndirim Oranı Uygulaması</w:t>
            </w:r>
          </w:p>
          <w:p w14:paraId="3004BEF0"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2024 takvim yılında elde edilen bir kısım menkul sermaye iradının beyanında dikkate alınacak indirim oranı uygulaması</w:t>
            </w:r>
          </w:p>
          <w:p w14:paraId="411DD3A8"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MADDE 6-</w:t>
            </w:r>
            <w:r w:rsidRPr="005B2C5E">
              <w:rPr>
                <w:rFonts w:ascii="Tahoma" w:hAnsi="Tahoma" w:cs="Tahoma"/>
                <w:sz w:val="20"/>
                <w:szCs w:val="20"/>
              </w:rPr>
              <w:t> (1) 193 sayılı Kanunun 76 </w:t>
            </w:r>
            <w:proofErr w:type="spellStart"/>
            <w:r w:rsidRPr="005B2C5E">
              <w:rPr>
                <w:rFonts w:ascii="Tahoma" w:hAnsi="Tahoma" w:cs="Tahoma"/>
                <w:sz w:val="20"/>
                <w:szCs w:val="20"/>
              </w:rPr>
              <w:t>ncı</w:t>
            </w:r>
            <w:proofErr w:type="spellEnd"/>
            <w:r w:rsidRPr="005B2C5E">
              <w:rPr>
                <w:rFonts w:ascii="Tahoma" w:hAnsi="Tahoma" w:cs="Tahoma"/>
                <w:sz w:val="20"/>
                <w:szCs w:val="20"/>
              </w:rPr>
              <w:t> maddesinin 5281 sayılı Kanunun 44 üncü maddesiyle yürürlükten kaldırılan ikinci fıkrasında, 193 sayılı Kanunun 75 inci maddesinin ikinci fıkrasının (5), (6), (7), (12) ve (14) numaralı bentlerinde yer alan menkul sermaye iratlarına (döviz cinsinden açılan hesaplara ödenen faiz ve kâr payları, dövize, altına veya başka bir değere endeksli menkul kıymetler ile döviz cinsinden ihraç edilen menkul kıymetlerden elde edilenler hariç) fıkrada belirtilen indirim oranının uygulanması suretiyle bulunacak kısmın, bu iratların beyanı sırasında indirim olarak dikkate alınacağı belirtilmişti.</w:t>
            </w:r>
          </w:p>
          <w:p w14:paraId="304D9F09"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(2) 193 sayılı Kanunun indirim oranı uygulamasına yönelik 76 </w:t>
            </w:r>
            <w:proofErr w:type="spellStart"/>
            <w:r w:rsidRPr="005B2C5E">
              <w:rPr>
                <w:rFonts w:ascii="Tahoma" w:hAnsi="Tahoma" w:cs="Tahoma"/>
                <w:sz w:val="20"/>
                <w:szCs w:val="20"/>
              </w:rPr>
              <w:t>ncı</w:t>
            </w:r>
            <w:proofErr w:type="spellEnd"/>
            <w:r w:rsidRPr="005B2C5E">
              <w:rPr>
                <w:rFonts w:ascii="Tahoma" w:hAnsi="Tahoma" w:cs="Tahoma"/>
                <w:sz w:val="20"/>
                <w:szCs w:val="20"/>
              </w:rPr>
              <w:t> maddesinin ikinci fıkrası 1/1/2006 tarihinden itibaren elde edilen gelirlere uygulanmak üzere 5281 sayılı Kanunla yürürlükten kaldırılmakla birlikte, anılan Kanunun geçici 67 nci maddesinin dokuzuncu fıkrası hükmü gereğince 1/1/2006 tarihinden önce ihraç edilen her nevi tahvil ve Hazine bonolarından elde edilen gelirlerin vergilendirilmesinde 31/12/2005 tarihinde yürürlükte olan hükümler esas alınacağından, indirim oranı uygulaması bahsi geçen menkul kıymet gelirleri için devam etmektedir.</w:t>
            </w:r>
          </w:p>
          <w:p w14:paraId="2CDAEF4B"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(3) İndirim oranı; 213 sayılı Kanuna göre o yıl için tespit edilmiş olan yeniden değerleme oranının, aynı dönemde Devlet tahvili ve Hazine bonosu ihalelerinde oluşan bileşik ortalama faiz oranına bölünmesi suretiyle tespit edilmekte olup 213 sayılı Kanun hükümlerine göre 2024 yılı için tespit edilmiş olan yeniden değerleme oranı %43,93'tür. Bu dönemde Devlet tahvili ve Hazine bonosu ihalelerinde oluşan bileşik ortalama faiz oranı ise %35,53’tür. Buna göre, 2024 yılında elde edilen bir kısım menkul sermaye iradının beyanında uygulanacak indirim oranı (%43,93 / %35,53=) %123,64 olmaktadır.</w:t>
            </w:r>
          </w:p>
          <w:p w14:paraId="661ACD9C"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Bu oranlar dikkate alındığında, 2024 yılı gelirlerine uygulanacak indirim oranı birden büyük çıkmaktadır.</w:t>
            </w:r>
          </w:p>
          <w:p w14:paraId="2D4ED0CF"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(4) Bu kapsamda, 2024 yılında elde edilen menkul sermaye iratlarından, 1/1/2006 tarihinden önce ihraç edilmiş olan ve 193 sayılı Kanunun 75 inci maddesinin ikinci fıkrasının (5) numaralı bendinde sayılan her nevi tahvil ve Hazine bonosu faizleri ile Toplu Konut İdaresi ve Özelleştirme İdaresince çıkarılan menkul kıymetlerden sağlanan gelirler indirim oranının birden büyük olması dolayısıyla beyan edilmeyecektir.</w:t>
            </w:r>
          </w:p>
          <w:p w14:paraId="43AD67B2"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(5) Dövize, altına veya başka bir değere endeksli menkul kıymetler ile döviz cinsinden ihraç edilen menkul kıymetlerden elde edilen menkul sermaye iratlarının ve ticari işletmelere dahil kazanç ve iratların beyanında indirim oranı uygulanmamaktadır.</w:t>
            </w:r>
          </w:p>
          <w:p w14:paraId="6E6FF0FA" w14:textId="77777777" w:rsidR="005B2C5E" w:rsidRPr="005B2C5E" w:rsidRDefault="005B2C5E" w:rsidP="005B2C5E">
            <w:pPr>
              <w:jc w:val="both"/>
              <w:rPr>
                <w:rFonts w:ascii="Tahoma" w:hAnsi="Tahoma" w:cs="Tahoma"/>
                <w:sz w:val="20"/>
                <w:szCs w:val="20"/>
              </w:rPr>
            </w:pPr>
            <w:r w:rsidRPr="005B2C5E">
              <w:rPr>
                <w:rFonts w:ascii="Tahoma" w:hAnsi="Tahoma" w:cs="Tahoma"/>
                <w:sz w:val="20"/>
                <w:szCs w:val="20"/>
              </w:rPr>
              <w:t xml:space="preserve">(6) 193 sayılı Kanunun geçici </w:t>
            </w:r>
            <w:proofErr w:type="gramStart"/>
            <w:r w:rsidRPr="005B2C5E">
              <w:rPr>
                <w:rFonts w:ascii="Tahoma" w:hAnsi="Tahoma" w:cs="Tahoma"/>
                <w:sz w:val="20"/>
                <w:szCs w:val="20"/>
              </w:rPr>
              <w:t>67 nci</w:t>
            </w:r>
            <w:proofErr w:type="gramEnd"/>
            <w:r w:rsidRPr="005B2C5E">
              <w:rPr>
                <w:rFonts w:ascii="Tahoma" w:hAnsi="Tahoma" w:cs="Tahoma"/>
                <w:sz w:val="20"/>
                <w:szCs w:val="20"/>
              </w:rPr>
              <w:t> maddesinin dördüncü fıkrası uyarınca, anılan Kanunun 75 inci maddesinin ikinci fıkrasının (7), (12) ve (14) numaralı bentlerinde yazılı menkul sermaye iratları 1/1/2006 tarihinden itibaren nihai olarak tevkifat yoluyla vergilendirilmekte olup bu gelirlerin beyanı ve bu gelirlere indirim oranı uygulanması söz konusu değildir.</w:t>
            </w:r>
          </w:p>
          <w:p w14:paraId="577C9470"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Yürürlük</w:t>
            </w:r>
          </w:p>
          <w:p w14:paraId="615782FF"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MADDE 7-</w:t>
            </w:r>
            <w:r w:rsidRPr="005B2C5E">
              <w:rPr>
                <w:rFonts w:ascii="Tahoma" w:hAnsi="Tahoma" w:cs="Tahoma"/>
                <w:sz w:val="20"/>
                <w:szCs w:val="20"/>
              </w:rPr>
              <w:t> (1) Bu Tebliğ 1/1/2025 tarihinde yürürlüğe girer.</w:t>
            </w:r>
          </w:p>
          <w:p w14:paraId="75496991"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Yürütme</w:t>
            </w:r>
          </w:p>
          <w:p w14:paraId="1C63E653" w14:textId="77777777" w:rsidR="005B2C5E" w:rsidRPr="005B2C5E" w:rsidRDefault="005B2C5E" w:rsidP="005B2C5E">
            <w:pPr>
              <w:jc w:val="both"/>
              <w:rPr>
                <w:rFonts w:ascii="Tahoma" w:hAnsi="Tahoma" w:cs="Tahoma"/>
                <w:sz w:val="20"/>
                <w:szCs w:val="20"/>
              </w:rPr>
            </w:pPr>
            <w:r w:rsidRPr="005B2C5E">
              <w:rPr>
                <w:rFonts w:ascii="Tahoma" w:hAnsi="Tahoma" w:cs="Tahoma"/>
                <w:b/>
                <w:bCs/>
                <w:sz w:val="20"/>
                <w:szCs w:val="20"/>
              </w:rPr>
              <w:t>MADDE 8-</w:t>
            </w:r>
            <w:r w:rsidRPr="005B2C5E">
              <w:rPr>
                <w:rFonts w:ascii="Tahoma" w:hAnsi="Tahoma" w:cs="Tahoma"/>
                <w:sz w:val="20"/>
                <w:szCs w:val="20"/>
              </w:rPr>
              <w:t> (1) Bu Tebliğ hükümlerini Hazine ve Maliye Bakanı yürütür.</w:t>
            </w:r>
          </w:p>
        </w:tc>
      </w:tr>
    </w:tbl>
    <w:p w14:paraId="4BF12563" w14:textId="77777777" w:rsidR="00F40434" w:rsidRPr="005B2C5E" w:rsidRDefault="00F40434" w:rsidP="005B2C5E">
      <w:pPr>
        <w:jc w:val="both"/>
        <w:rPr>
          <w:rFonts w:ascii="Tahoma" w:hAnsi="Tahoma" w:cs="Tahoma"/>
          <w:sz w:val="20"/>
          <w:szCs w:val="20"/>
        </w:rPr>
      </w:pPr>
    </w:p>
    <w:sectPr w:rsidR="00F40434" w:rsidRPr="005B2C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5E"/>
    <w:rsid w:val="00470F5D"/>
    <w:rsid w:val="005B2C5E"/>
    <w:rsid w:val="005F324D"/>
    <w:rsid w:val="0068156B"/>
    <w:rsid w:val="00866025"/>
    <w:rsid w:val="00B325D7"/>
    <w:rsid w:val="00D05408"/>
    <w:rsid w:val="00DD6FFC"/>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2395"/>
  <w15:chartTrackingRefBased/>
  <w15:docId w15:val="{A043D993-0AE4-4A90-ACED-715D17FE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B2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B2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B2C5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B2C5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B2C5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B2C5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B2C5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B2C5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B2C5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B2C5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B2C5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B2C5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B2C5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B2C5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B2C5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B2C5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B2C5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B2C5E"/>
    <w:rPr>
      <w:rFonts w:eastAsiaTheme="majorEastAsia" w:cstheme="majorBidi"/>
      <w:color w:val="272727" w:themeColor="text1" w:themeTint="D8"/>
    </w:rPr>
  </w:style>
  <w:style w:type="paragraph" w:styleId="KonuBal">
    <w:name w:val="Title"/>
    <w:basedOn w:val="Normal"/>
    <w:next w:val="Normal"/>
    <w:link w:val="KonuBalChar"/>
    <w:uiPriority w:val="10"/>
    <w:qFormat/>
    <w:rsid w:val="005B2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B2C5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B2C5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B2C5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B2C5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B2C5E"/>
    <w:rPr>
      <w:i/>
      <w:iCs/>
      <w:color w:val="404040" w:themeColor="text1" w:themeTint="BF"/>
    </w:rPr>
  </w:style>
  <w:style w:type="paragraph" w:styleId="ListeParagraf">
    <w:name w:val="List Paragraph"/>
    <w:basedOn w:val="Normal"/>
    <w:uiPriority w:val="34"/>
    <w:qFormat/>
    <w:rsid w:val="005B2C5E"/>
    <w:pPr>
      <w:ind w:left="720"/>
      <w:contextualSpacing/>
    </w:pPr>
  </w:style>
  <w:style w:type="character" w:styleId="GlVurgulama">
    <w:name w:val="Intense Emphasis"/>
    <w:basedOn w:val="VarsaylanParagrafYazTipi"/>
    <w:uiPriority w:val="21"/>
    <w:qFormat/>
    <w:rsid w:val="005B2C5E"/>
    <w:rPr>
      <w:i/>
      <w:iCs/>
      <w:color w:val="0F4761" w:themeColor="accent1" w:themeShade="BF"/>
    </w:rPr>
  </w:style>
  <w:style w:type="paragraph" w:styleId="GlAlnt">
    <w:name w:val="Intense Quote"/>
    <w:basedOn w:val="Normal"/>
    <w:next w:val="Normal"/>
    <w:link w:val="GlAlntChar"/>
    <w:uiPriority w:val="30"/>
    <w:qFormat/>
    <w:rsid w:val="005B2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B2C5E"/>
    <w:rPr>
      <w:i/>
      <w:iCs/>
      <w:color w:val="0F4761" w:themeColor="accent1" w:themeShade="BF"/>
    </w:rPr>
  </w:style>
  <w:style w:type="character" w:styleId="GlBavuru">
    <w:name w:val="Intense Reference"/>
    <w:basedOn w:val="VarsaylanParagrafYazTipi"/>
    <w:uiPriority w:val="32"/>
    <w:qFormat/>
    <w:rsid w:val="005B2C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734873">
      <w:bodyDiv w:val="1"/>
      <w:marLeft w:val="0"/>
      <w:marRight w:val="0"/>
      <w:marTop w:val="0"/>
      <w:marBottom w:val="0"/>
      <w:divBdr>
        <w:top w:val="none" w:sz="0" w:space="0" w:color="auto"/>
        <w:left w:val="none" w:sz="0" w:space="0" w:color="auto"/>
        <w:bottom w:val="none" w:sz="0" w:space="0" w:color="auto"/>
        <w:right w:val="none" w:sz="0" w:space="0" w:color="auto"/>
      </w:divBdr>
    </w:div>
    <w:div w:id="15563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1872</Words>
  <Characters>10676</Characters>
  <Application>Microsoft Office Word</Application>
  <DocSecurity>0</DocSecurity>
  <Lines>88</Lines>
  <Paragraphs>25</Paragraphs>
  <ScaleCrop>false</ScaleCrop>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2025-01-02T06:33:00Z</dcterms:created>
  <dcterms:modified xsi:type="dcterms:W3CDTF">2025-01-02T06:33:00Z</dcterms:modified>
</cp:coreProperties>
</file>